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CA" w:rsidRDefault="007756CA" w:rsidP="00CF4BBF">
      <w:pPr>
        <w:jc w:val="center"/>
        <w:rPr>
          <w:rFonts w:ascii="Times New Roman" w:hAnsi="Times New Roman" w:cs="Times New Roman"/>
          <w:b/>
          <w:sz w:val="24"/>
        </w:rPr>
      </w:pPr>
      <w:r w:rsidRPr="007756CA">
        <w:rPr>
          <w:rFonts w:ascii="Times New Roman" w:hAnsi="Times New Roman" w:cs="Times New Roman"/>
          <w:b/>
          <w:sz w:val="24"/>
        </w:rPr>
        <w:t>Content Standard</w:t>
      </w:r>
    </w:p>
    <w:p w:rsidR="007756CA" w:rsidRDefault="006D1801" w:rsidP="00EA4080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content standard regulates the nature of a collection catalogue and allows the “systematic means of retrieval of items in a collection” (Bowman, 2003, p. 6). The importance of selecting the most appropriate content standard for our particular collection was clear. </w:t>
      </w:r>
      <w:r>
        <w:rPr>
          <w:rFonts w:ascii="Times New Roman" w:hAnsi="Times New Roman" w:cs="Times New Roman"/>
          <w:sz w:val="24"/>
        </w:rPr>
        <w:t>Accordingly, i</w:t>
      </w:r>
      <w:r w:rsidR="007756CA">
        <w:rPr>
          <w:rFonts w:ascii="Times New Roman" w:hAnsi="Times New Roman" w:cs="Times New Roman"/>
          <w:sz w:val="24"/>
        </w:rPr>
        <w:t>n researching potential content standards for our collection</w:t>
      </w:r>
      <w:r>
        <w:rPr>
          <w:rFonts w:ascii="Times New Roman" w:hAnsi="Times New Roman" w:cs="Times New Roman"/>
          <w:sz w:val="24"/>
        </w:rPr>
        <w:t>,</w:t>
      </w:r>
      <w:r w:rsidR="007756CA">
        <w:rPr>
          <w:rFonts w:ascii="Times New Roman" w:hAnsi="Times New Roman" w:cs="Times New Roman"/>
          <w:sz w:val="24"/>
        </w:rPr>
        <w:t xml:space="preserve"> a number of such standards were investigated including:</w:t>
      </w:r>
      <w:r w:rsidR="007756CA" w:rsidRPr="007756CA">
        <w:rPr>
          <w:rFonts w:ascii="Times New Roman" w:hAnsi="Times New Roman" w:cs="Times New Roman"/>
          <w:sz w:val="24"/>
        </w:rPr>
        <w:t xml:space="preserve"> </w:t>
      </w:r>
      <w:r w:rsidR="007756CA" w:rsidRPr="006D1801">
        <w:rPr>
          <w:rFonts w:ascii="Times New Roman" w:hAnsi="Times New Roman" w:cs="Times New Roman"/>
          <w:sz w:val="24"/>
        </w:rPr>
        <w:t>AACR2</w:t>
      </w:r>
      <w:r w:rsidR="007756CA">
        <w:rPr>
          <w:rFonts w:ascii="Times New Roman" w:hAnsi="Times New Roman" w:cs="Times New Roman"/>
          <w:sz w:val="24"/>
        </w:rPr>
        <w:t xml:space="preserve"> (</w:t>
      </w:r>
      <w:r w:rsidR="007756CA" w:rsidRPr="006D1801">
        <w:rPr>
          <w:rFonts w:ascii="Times New Roman" w:hAnsi="Times New Roman" w:cs="Times New Roman"/>
          <w:b/>
          <w:sz w:val="24"/>
        </w:rPr>
        <w:t>Anglo American Cataloguing Rules 2</w:t>
      </w:r>
      <w:r w:rsidR="007756CA" w:rsidRPr="006D1801">
        <w:rPr>
          <w:rFonts w:ascii="Times New Roman" w:hAnsi="Times New Roman" w:cs="Times New Roman"/>
          <w:b/>
          <w:sz w:val="24"/>
          <w:vertAlign w:val="superscript"/>
        </w:rPr>
        <w:t>nd</w:t>
      </w:r>
      <w:r w:rsidR="005319D7">
        <w:rPr>
          <w:rFonts w:ascii="Times New Roman" w:hAnsi="Times New Roman" w:cs="Times New Roman"/>
          <w:b/>
          <w:sz w:val="24"/>
        </w:rPr>
        <w:t xml:space="preserve"> ed.</w:t>
      </w:r>
      <w:r w:rsidR="007756CA" w:rsidRPr="006D1801">
        <w:rPr>
          <w:rFonts w:ascii="Times New Roman" w:hAnsi="Times New Roman" w:cs="Times New Roman"/>
          <w:b/>
          <w:sz w:val="24"/>
        </w:rPr>
        <w:t>),</w:t>
      </w:r>
      <w:r w:rsidR="007756CA" w:rsidRPr="007756CA">
        <w:rPr>
          <w:rFonts w:ascii="Times New Roman" w:hAnsi="Times New Roman" w:cs="Times New Roman"/>
          <w:sz w:val="24"/>
        </w:rPr>
        <w:t xml:space="preserve"> </w:t>
      </w:r>
      <w:r w:rsidR="007756CA" w:rsidRPr="006D1801">
        <w:rPr>
          <w:rFonts w:ascii="Times New Roman" w:hAnsi="Times New Roman" w:cs="Times New Roman"/>
          <w:sz w:val="24"/>
        </w:rPr>
        <w:t>RDA</w:t>
      </w:r>
      <w:r w:rsidR="007756CA">
        <w:rPr>
          <w:rFonts w:ascii="Times New Roman" w:hAnsi="Times New Roman" w:cs="Times New Roman"/>
          <w:sz w:val="24"/>
        </w:rPr>
        <w:t xml:space="preserve"> (</w:t>
      </w:r>
      <w:r w:rsidR="007756CA" w:rsidRPr="006D1801">
        <w:rPr>
          <w:rFonts w:ascii="Times New Roman" w:hAnsi="Times New Roman" w:cs="Times New Roman"/>
          <w:b/>
          <w:sz w:val="24"/>
        </w:rPr>
        <w:t xml:space="preserve">Resource Description </w:t>
      </w:r>
      <w:r w:rsidR="00CF4BBF" w:rsidRPr="006D1801">
        <w:rPr>
          <w:rFonts w:ascii="Times New Roman" w:hAnsi="Times New Roman" w:cs="Times New Roman"/>
          <w:b/>
          <w:sz w:val="24"/>
        </w:rPr>
        <w:t>and Access</w:t>
      </w:r>
      <w:r w:rsidR="00CF4BBF">
        <w:rPr>
          <w:rFonts w:ascii="Times New Roman" w:hAnsi="Times New Roman" w:cs="Times New Roman"/>
          <w:sz w:val="24"/>
        </w:rPr>
        <w:t>)</w:t>
      </w:r>
      <w:r w:rsidR="007756CA" w:rsidRPr="007756CA">
        <w:rPr>
          <w:rFonts w:ascii="Times New Roman" w:hAnsi="Times New Roman" w:cs="Times New Roman"/>
          <w:sz w:val="24"/>
        </w:rPr>
        <w:t xml:space="preserve">, </w:t>
      </w:r>
      <w:r w:rsidR="007756CA" w:rsidRPr="006D1801">
        <w:rPr>
          <w:rFonts w:ascii="Times New Roman" w:hAnsi="Times New Roman" w:cs="Times New Roman"/>
          <w:sz w:val="24"/>
        </w:rPr>
        <w:t>DCRM</w:t>
      </w:r>
      <w:r w:rsidR="00CF4BBF">
        <w:rPr>
          <w:rFonts w:ascii="Times New Roman" w:hAnsi="Times New Roman" w:cs="Times New Roman"/>
          <w:sz w:val="24"/>
        </w:rPr>
        <w:t xml:space="preserve"> (</w:t>
      </w:r>
      <w:r w:rsidR="00CF4BBF" w:rsidRPr="006D1801">
        <w:rPr>
          <w:rFonts w:ascii="Times New Roman" w:hAnsi="Times New Roman" w:cs="Times New Roman"/>
          <w:b/>
          <w:sz w:val="24"/>
        </w:rPr>
        <w:t>Descriptive Cataloging of Rare Materials</w:t>
      </w:r>
      <w:r w:rsidR="00CF4BBF">
        <w:rPr>
          <w:rFonts w:ascii="Times New Roman" w:hAnsi="Times New Roman" w:cs="Times New Roman"/>
          <w:sz w:val="24"/>
        </w:rPr>
        <w:t>)</w:t>
      </w:r>
      <w:r w:rsidR="007756CA" w:rsidRPr="007756CA">
        <w:rPr>
          <w:rFonts w:ascii="Times New Roman" w:hAnsi="Times New Roman" w:cs="Times New Roman"/>
          <w:sz w:val="24"/>
        </w:rPr>
        <w:t xml:space="preserve">, </w:t>
      </w:r>
      <w:r w:rsidR="007756CA" w:rsidRPr="006D1801">
        <w:rPr>
          <w:rFonts w:ascii="Times New Roman" w:hAnsi="Times New Roman" w:cs="Times New Roman"/>
          <w:sz w:val="24"/>
        </w:rPr>
        <w:t>DACS</w:t>
      </w:r>
      <w:r w:rsidR="00CF4BBF">
        <w:rPr>
          <w:rFonts w:ascii="Times New Roman" w:hAnsi="Times New Roman" w:cs="Times New Roman"/>
          <w:sz w:val="24"/>
        </w:rPr>
        <w:t xml:space="preserve"> (</w:t>
      </w:r>
      <w:r w:rsidR="00CF4BBF" w:rsidRPr="006D1801">
        <w:rPr>
          <w:rFonts w:ascii="Times New Roman" w:hAnsi="Times New Roman" w:cs="Times New Roman"/>
          <w:b/>
          <w:sz w:val="24"/>
        </w:rPr>
        <w:t>Describing Archives: A Content Standard</w:t>
      </w:r>
      <w:r w:rsidR="00CF4BBF">
        <w:rPr>
          <w:rFonts w:ascii="Times New Roman" w:hAnsi="Times New Roman" w:cs="Times New Roman"/>
          <w:sz w:val="24"/>
        </w:rPr>
        <w:t>)</w:t>
      </w:r>
      <w:r w:rsidR="007756CA" w:rsidRPr="007756CA">
        <w:rPr>
          <w:rFonts w:ascii="Times New Roman" w:hAnsi="Times New Roman" w:cs="Times New Roman"/>
          <w:sz w:val="24"/>
        </w:rPr>
        <w:t xml:space="preserve">, </w:t>
      </w:r>
      <w:r w:rsidR="007756CA">
        <w:rPr>
          <w:rFonts w:ascii="Times New Roman" w:hAnsi="Times New Roman" w:cs="Times New Roman"/>
          <w:sz w:val="24"/>
        </w:rPr>
        <w:t xml:space="preserve">&amp; </w:t>
      </w:r>
      <w:r w:rsidR="007756CA" w:rsidRPr="006D1801">
        <w:rPr>
          <w:rFonts w:ascii="Times New Roman" w:hAnsi="Times New Roman" w:cs="Times New Roman"/>
          <w:sz w:val="24"/>
        </w:rPr>
        <w:t>CCO</w:t>
      </w:r>
      <w:r w:rsidR="00CF4BBF">
        <w:rPr>
          <w:rFonts w:ascii="Times New Roman" w:hAnsi="Times New Roman" w:cs="Times New Roman"/>
          <w:sz w:val="24"/>
        </w:rPr>
        <w:t xml:space="preserve"> (</w:t>
      </w:r>
      <w:r w:rsidR="00CF4BBF" w:rsidRPr="006D1801">
        <w:rPr>
          <w:rFonts w:ascii="Times New Roman" w:hAnsi="Times New Roman" w:cs="Times New Roman"/>
          <w:b/>
          <w:sz w:val="24"/>
        </w:rPr>
        <w:t>Cataloging Cultural Objects</w:t>
      </w:r>
      <w:r w:rsidR="00CF4BBF">
        <w:rPr>
          <w:rFonts w:ascii="Times New Roman" w:hAnsi="Times New Roman" w:cs="Times New Roman"/>
          <w:sz w:val="24"/>
        </w:rPr>
        <w:t xml:space="preserve">). Immediately </w:t>
      </w:r>
      <w:r w:rsidR="00CF4BBF" w:rsidRPr="006D1801">
        <w:rPr>
          <w:rFonts w:ascii="Times New Roman" w:hAnsi="Times New Roman" w:cs="Times New Roman"/>
          <w:sz w:val="24"/>
        </w:rPr>
        <w:t>DCRM, DACS and CCO</w:t>
      </w:r>
      <w:r w:rsidR="00CF4BBF">
        <w:rPr>
          <w:rFonts w:ascii="Times New Roman" w:hAnsi="Times New Roman" w:cs="Times New Roman"/>
          <w:b/>
          <w:sz w:val="24"/>
        </w:rPr>
        <w:t xml:space="preserve"> </w:t>
      </w:r>
      <w:r w:rsidR="00CF4BBF">
        <w:rPr>
          <w:rFonts w:ascii="Times New Roman" w:hAnsi="Times New Roman" w:cs="Times New Roman"/>
          <w:sz w:val="24"/>
        </w:rPr>
        <w:t xml:space="preserve">standards were found to be unsuitable for the collection in hand due to the fact that these standards are applied to specialised collections, i.e., archives, rare books, cultural objects.  </w:t>
      </w:r>
    </w:p>
    <w:p w:rsidR="00CF4BBF" w:rsidRDefault="00CF4BBF" w:rsidP="00EA4080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6D1801">
        <w:rPr>
          <w:rFonts w:ascii="Times New Roman" w:hAnsi="Times New Roman" w:cs="Times New Roman"/>
          <w:sz w:val="24"/>
        </w:rPr>
        <w:t xml:space="preserve">AACR2 </w:t>
      </w:r>
      <w:r w:rsidRPr="00CF4BBF">
        <w:rPr>
          <w:rFonts w:ascii="Times New Roman" w:hAnsi="Times New Roman" w:cs="Times New Roman"/>
          <w:sz w:val="24"/>
        </w:rPr>
        <w:t>and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6D1801">
        <w:rPr>
          <w:rFonts w:ascii="Times New Roman" w:hAnsi="Times New Roman" w:cs="Times New Roman"/>
          <w:sz w:val="24"/>
        </w:rPr>
        <w:t>RDA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CF4BBF">
        <w:rPr>
          <w:rFonts w:ascii="Times New Roman" w:hAnsi="Times New Roman" w:cs="Times New Roman"/>
          <w:sz w:val="24"/>
        </w:rPr>
        <w:t xml:space="preserve">were </w:t>
      </w:r>
      <w:r w:rsidR="006D1801" w:rsidRPr="00CF4BBF">
        <w:rPr>
          <w:rFonts w:ascii="Times New Roman" w:hAnsi="Times New Roman" w:cs="Times New Roman"/>
          <w:sz w:val="24"/>
        </w:rPr>
        <w:t>identified</w:t>
      </w:r>
      <w:r w:rsidR="006D1801">
        <w:rPr>
          <w:rFonts w:ascii="Times New Roman" w:hAnsi="Times New Roman" w:cs="Times New Roman"/>
          <w:sz w:val="24"/>
        </w:rPr>
        <w:t xml:space="preserve"> </w:t>
      </w:r>
      <w:r w:rsidRPr="00CF4BBF">
        <w:rPr>
          <w:rFonts w:ascii="Times New Roman" w:hAnsi="Times New Roman" w:cs="Times New Roman"/>
          <w:sz w:val="24"/>
        </w:rPr>
        <w:t xml:space="preserve">as the two </w:t>
      </w:r>
      <w:r w:rsidR="006D1801">
        <w:rPr>
          <w:rFonts w:ascii="Times New Roman" w:hAnsi="Times New Roman" w:cs="Times New Roman"/>
          <w:sz w:val="24"/>
        </w:rPr>
        <w:t>most viable</w:t>
      </w:r>
      <w:r w:rsidRPr="00CF4BBF">
        <w:rPr>
          <w:rFonts w:ascii="Times New Roman" w:hAnsi="Times New Roman" w:cs="Times New Roman"/>
          <w:sz w:val="24"/>
        </w:rPr>
        <w:t xml:space="preserve"> options</w:t>
      </w:r>
      <w:r w:rsidR="006D1801">
        <w:rPr>
          <w:rFonts w:ascii="Times New Roman" w:hAnsi="Times New Roman" w:cs="Times New Roman"/>
          <w:sz w:val="24"/>
        </w:rPr>
        <w:t xml:space="preserve"> and </w:t>
      </w:r>
      <w:r w:rsidR="006D1801">
        <w:rPr>
          <w:rFonts w:ascii="Times New Roman" w:hAnsi="Times New Roman" w:cs="Times New Roman"/>
          <w:sz w:val="24"/>
        </w:rPr>
        <w:t>highlighted</w:t>
      </w:r>
      <w:r w:rsidR="006D1801">
        <w:rPr>
          <w:rFonts w:ascii="Times New Roman" w:hAnsi="Times New Roman" w:cs="Times New Roman"/>
          <w:sz w:val="24"/>
        </w:rPr>
        <w:t xml:space="preserve"> for further investigation. </w:t>
      </w:r>
      <w:r w:rsidR="005319D7">
        <w:rPr>
          <w:rFonts w:ascii="Times New Roman" w:hAnsi="Times New Roman" w:cs="Times New Roman"/>
          <w:sz w:val="24"/>
        </w:rPr>
        <w:t xml:space="preserve">The investigation provided us with the necessary detail to assess both comparatively in relation to our needs. </w:t>
      </w:r>
      <w:r w:rsidR="006D1801">
        <w:rPr>
          <w:rFonts w:ascii="Times New Roman" w:hAnsi="Times New Roman" w:cs="Times New Roman"/>
          <w:sz w:val="24"/>
        </w:rPr>
        <w:t>AACR2 as a cataloguing standard is the most widely implemented standard internationally (</w:t>
      </w:r>
      <w:r w:rsidR="00263056">
        <w:rPr>
          <w:rFonts w:ascii="Times New Roman" w:hAnsi="Times New Roman" w:cs="Times New Roman"/>
          <w:sz w:val="24"/>
        </w:rPr>
        <w:t>Bowman, 2003</w:t>
      </w:r>
      <w:r w:rsidR="006D1801">
        <w:rPr>
          <w:rFonts w:ascii="Times New Roman" w:hAnsi="Times New Roman" w:cs="Times New Roman"/>
          <w:sz w:val="24"/>
        </w:rPr>
        <w:t>).</w:t>
      </w:r>
      <w:r w:rsidR="005319D7">
        <w:rPr>
          <w:rFonts w:ascii="Times New Roman" w:hAnsi="Times New Roman" w:cs="Times New Roman"/>
          <w:sz w:val="24"/>
        </w:rPr>
        <w:t xml:space="preserve"> At the heart of AACR2 is provision of bibliographic detail for collections of a print majority.</w:t>
      </w:r>
      <w:r w:rsidR="006D1801">
        <w:rPr>
          <w:rFonts w:ascii="Times New Roman" w:hAnsi="Times New Roman" w:cs="Times New Roman"/>
          <w:sz w:val="24"/>
        </w:rPr>
        <w:t xml:space="preserve"> </w:t>
      </w:r>
      <w:r w:rsidR="00EA4080">
        <w:rPr>
          <w:rFonts w:ascii="Times New Roman" w:hAnsi="Times New Roman" w:cs="Times New Roman"/>
          <w:sz w:val="24"/>
        </w:rPr>
        <w:t xml:space="preserve">AACR2 enables recording of bibliographic access points, such as author, title, etc., guiding resource retrieval for the user (Bowman, 2003). </w:t>
      </w:r>
      <w:r w:rsidR="006D1801">
        <w:rPr>
          <w:rFonts w:ascii="Times New Roman" w:hAnsi="Times New Roman" w:cs="Times New Roman"/>
          <w:sz w:val="24"/>
        </w:rPr>
        <w:t>There are a wealth of texts and manuals on this standard providing instruction in its implementation. As a group we all had some experience in working with AACR2 as content standard</w:t>
      </w:r>
      <w:r w:rsidR="00EA4080">
        <w:rPr>
          <w:rFonts w:ascii="Times New Roman" w:hAnsi="Times New Roman" w:cs="Times New Roman"/>
          <w:sz w:val="24"/>
        </w:rPr>
        <w:t xml:space="preserve">. </w:t>
      </w:r>
      <w:r w:rsidR="006D1801">
        <w:rPr>
          <w:rFonts w:ascii="Times New Roman" w:hAnsi="Times New Roman" w:cs="Times New Roman"/>
          <w:sz w:val="24"/>
        </w:rPr>
        <w:t xml:space="preserve"> </w:t>
      </w:r>
    </w:p>
    <w:p w:rsidR="00EA4080" w:rsidRDefault="00EA4080" w:rsidP="00EA4080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RDA is similar to AACR2 in that it also regulates bibliographic access points for a collection catalogue, sharing many of AACR2 principles. However, it provides for digital collections also, </w:t>
      </w:r>
      <w:r w:rsidR="005319D7">
        <w:rPr>
          <w:rFonts w:ascii="Times New Roman" w:hAnsi="Times New Roman" w:cs="Times New Roman"/>
          <w:sz w:val="24"/>
        </w:rPr>
        <w:t xml:space="preserve">as a standard </w:t>
      </w:r>
      <w:r>
        <w:rPr>
          <w:rFonts w:ascii="Times New Roman" w:hAnsi="Times New Roman" w:cs="Times New Roman"/>
          <w:sz w:val="24"/>
        </w:rPr>
        <w:t xml:space="preserve">being attuned to the networked environment of the web (Oliver, 2010). </w:t>
      </w:r>
      <w:r w:rsidR="005319D7">
        <w:rPr>
          <w:rFonts w:ascii="Times New Roman" w:hAnsi="Times New Roman" w:cs="Times New Roman"/>
          <w:sz w:val="24"/>
        </w:rPr>
        <w:t xml:space="preserve">It </w:t>
      </w:r>
      <w:r>
        <w:rPr>
          <w:rFonts w:ascii="Times New Roman" w:hAnsi="Times New Roman" w:cs="Times New Roman"/>
          <w:sz w:val="24"/>
        </w:rPr>
        <w:t>is also internationally recognised or interoperable</w:t>
      </w:r>
      <w:r w:rsidR="005319D7">
        <w:rPr>
          <w:rFonts w:ascii="Times New Roman" w:hAnsi="Times New Roman" w:cs="Times New Roman"/>
          <w:sz w:val="24"/>
        </w:rPr>
        <w:t xml:space="preserve"> and may be implemented </w:t>
      </w:r>
      <w:r w:rsidR="005319D7">
        <w:rPr>
          <w:rFonts w:ascii="Times New Roman" w:hAnsi="Times New Roman" w:cs="Times New Roman"/>
          <w:sz w:val="24"/>
        </w:rPr>
        <w:lastRenderedPageBreak/>
        <w:t xml:space="preserve">outside of a library context </w:t>
      </w:r>
      <w:r>
        <w:rPr>
          <w:rFonts w:ascii="Times New Roman" w:hAnsi="Times New Roman" w:cs="Times New Roman"/>
          <w:sz w:val="24"/>
        </w:rPr>
        <w:t xml:space="preserve">(Oliver, 2010). </w:t>
      </w:r>
      <w:r w:rsidR="005319D7">
        <w:rPr>
          <w:rFonts w:ascii="Times New Roman" w:hAnsi="Times New Roman" w:cs="Times New Roman"/>
          <w:sz w:val="24"/>
        </w:rPr>
        <w:t xml:space="preserve">For these reasons RDA is seen as advancement over AACR2. </w:t>
      </w:r>
    </w:p>
    <w:p w:rsidR="00263056" w:rsidRDefault="005319D7" w:rsidP="00EA4080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In light of the research a decision was made to implement AACR2 as </w:t>
      </w:r>
      <w:r w:rsidR="00263056">
        <w:rPr>
          <w:rFonts w:ascii="Times New Roman" w:hAnsi="Times New Roman" w:cs="Times New Roman"/>
          <w:sz w:val="24"/>
        </w:rPr>
        <w:t xml:space="preserve">a </w:t>
      </w:r>
      <w:r>
        <w:rPr>
          <w:rFonts w:ascii="Times New Roman" w:hAnsi="Times New Roman" w:cs="Times New Roman"/>
          <w:sz w:val="24"/>
        </w:rPr>
        <w:t>content standard for our collection. AACR2 was identified as more than sufficient as a content standar</w:t>
      </w:r>
      <w:r w:rsidR="00263056">
        <w:rPr>
          <w:rFonts w:ascii="Times New Roman" w:hAnsi="Times New Roman" w:cs="Times New Roman"/>
          <w:sz w:val="24"/>
        </w:rPr>
        <w:t>d to provide for our collection -</w:t>
      </w:r>
      <w:r>
        <w:rPr>
          <w:rFonts w:ascii="Times New Roman" w:hAnsi="Times New Roman" w:cs="Times New Roman"/>
          <w:sz w:val="24"/>
        </w:rPr>
        <w:t xml:space="preserve"> a majority print based collection for a secondary school library. </w:t>
      </w:r>
      <w:r w:rsidR="00686E9F">
        <w:rPr>
          <w:rFonts w:ascii="Times New Roman" w:hAnsi="Times New Roman" w:cs="Times New Roman"/>
          <w:sz w:val="24"/>
        </w:rPr>
        <w:t xml:space="preserve">RDA with its provision for digital resources offers a </w:t>
      </w:r>
      <w:r w:rsidR="00686E9F" w:rsidRPr="00686E9F">
        <w:rPr>
          <w:rFonts w:ascii="Times New Roman" w:hAnsi="Times New Roman" w:cs="Times New Roman"/>
          <w:i/>
          <w:sz w:val="24"/>
        </w:rPr>
        <w:t>potential</w:t>
      </w:r>
      <w:r w:rsidR="00686E9F">
        <w:rPr>
          <w:rFonts w:ascii="Times New Roman" w:hAnsi="Times New Roman" w:cs="Times New Roman"/>
          <w:sz w:val="24"/>
        </w:rPr>
        <w:t xml:space="preserve"> advantage </w:t>
      </w:r>
      <w:r w:rsidR="00686E9F">
        <w:rPr>
          <w:rFonts w:ascii="Times New Roman" w:hAnsi="Times New Roman" w:cs="Times New Roman"/>
          <w:sz w:val="24"/>
        </w:rPr>
        <w:t xml:space="preserve">over AACR2 </w:t>
      </w:r>
      <w:r w:rsidR="00686E9F">
        <w:rPr>
          <w:rFonts w:ascii="Times New Roman" w:hAnsi="Times New Roman" w:cs="Times New Roman"/>
          <w:sz w:val="24"/>
        </w:rPr>
        <w:t xml:space="preserve">for some collections; however, this potential advantage did not factor enough </w:t>
      </w:r>
      <w:r w:rsidR="00263056">
        <w:rPr>
          <w:rFonts w:ascii="Times New Roman" w:hAnsi="Times New Roman" w:cs="Times New Roman"/>
          <w:sz w:val="24"/>
        </w:rPr>
        <w:t>in relation to our</w:t>
      </w:r>
      <w:r w:rsidR="00686E9F">
        <w:rPr>
          <w:rFonts w:ascii="Times New Roman" w:hAnsi="Times New Roman" w:cs="Times New Roman"/>
          <w:sz w:val="24"/>
        </w:rPr>
        <w:t xml:space="preserve"> collection to warrant a selection. Additionally ACCR2 being a tried and tested cataloguing standard leant weight to the selection decision. Bowman states that a content standard allows the cataloguer to “bring order to the arrangement” (2003, p. 6)</w:t>
      </w:r>
      <w:r w:rsidR="00263056">
        <w:rPr>
          <w:rFonts w:ascii="Times New Roman" w:hAnsi="Times New Roman" w:cs="Times New Roman"/>
          <w:sz w:val="24"/>
        </w:rPr>
        <w:t xml:space="preserve"> of a catalogue, thus AACR2 has been identified as the means through which to order our collection catalogue. </w:t>
      </w:r>
    </w:p>
    <w:p w:rsidR="00263056" w:rsidRDefault="0026305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63056" w:rsidRPr="00263056" w:rsidRDefault="00263056" w:rsidP="00263056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 w:rsidRPr="00263056">
        <w:rPr>
          <w:rFonts w:ascii="Times New Roman" w:hAnsi="Times New Roman" w:cs="Times New Roman"/>
          <w:b/>
          <w:sz w:val="24"/>
        </w:rPr>
        <w:lastRenderedPageBreak/>
        <w:t>Bibliography</w:t>
      </w:r>
    </w:p>
    <w:p w:rsidR="00263056" w:rsidRDefault="00263056" w:rsidP="002630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63056">
        <w:rPr>
          <w:rFonts w:ascii="Times New Roman" w:hAnsi="Times New Roman" w:cs="Times New Roman"/>
          <w:sz w:val="24"/>
        </w:rPr>
        <w:t>Bowman, J.H.</w:t>
      </w:r>
      <w:r>
        <w:rPr>
          <w:rFonts w:ascii="Times New Roman" w:hAnsi="Times New Roman" w:cs="Times New Roman"/>
          <w:sz w:val="24"/>
        </w:rPr>
        <w:t xml:space="preserve"> (2003).</w:t>
      </w:r>
      <w:r w:rsidRPr="00263056">
        <w:rPr>
          <w:rFonts w:ascii="Times New Roman" w:hAnsi="Times New Roman" w:cs="Times New Roman"/>
          <w:sz w:val="24"/>
        </w:rPr>
        <w:t xml:space="preserve"> </w:t>
      </w:r>
      <w:r w:rsidRPr="00263056">
        <w:rPr>
          <w:rFonts w:ascii="Times New Roman" w:hAnsi="Times New Roman" w:cs="Times New Roman"/>
          <w:i/>
          <w:sz w:val="24"/>
        </w:rPr>
        <w:t>Essential Cataloguing.</w:t>
      </w:r>
      <w:r>
        <w:rPr>
          <w:rFonts w:ascii="Times New Roman" w:hAnsi="Times New Roman" w:cs="Times New Roman"/>
          <w:sz w:val="24"/>
        </w:rPr>
        <w:t xml:space="preserve"> London: Facet.</w:t>
      </w:r>
    </w:p>
    <w:p w:rsidR="00263056" w:rsidRDefault="00263056" w:rsidP="002630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Oliver, C. (2010). </w:t>
      </w:r>
      <w:r>
        <w:rPr>
          <w:rFonts w:ascii="Times New Roman" w:hAnsi="Times New Roman" w:cs="Times New Roman"/>
          <w:i/>
          <w:sz w:val="24"/>
        </w:rPr>
        <w:t xml:space="preserve">Introducing RDA: a guide to the basics. </w:t>
      </w:r>
      <w:r>
        <w:rPr>
          <w:rFonts w:ascii="Times New Roman" w:hAnsi="Times New Roman" w:cs="Times New Roman"/>
          <w:sz w:val="24"/>
        </w:rPr>
        <w:t>New York: ALA.</w:t>
      </w:r>
    </w:p>
    <w:p w:rsidR="00263056" w:rsidRPr="00263056" w:rsidRDefault="00263056" w:rsidP="00263056">
      <w:pPr>
        <w:pStyle w:val="ListParagraph"/>
        <w:spacing w:line="48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263056" w:rsidRPr="0026305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904" w:rsidRDefault="00956904" w:rsidP="007756CA">
      <w:pPr>
        <w:spacing w:after="0" w:line="240" w:lineRule="auto"/>
      </w:pPr>
      <w:r>
        <w:separator/>
      </w:r>
    </w:p>
  </w:endnote>
  <w:endnote w:type="continuationSeparator" w:id="0">
    <w:p w:rsidR="00956904" w:rsidRDefault="00956904" w:rsidP="0077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904" w:rsidRDefault="00956904" w:rsidP="007756CA">
      <w:pPr>
        <w:spacing w:after="0" w:line="240" w:lineRule="auto"/>
      </w:pPr>
      <w:r>
        <w:separator/>
      </w:r>
    </w:p>
  </w:footnote>
  <w:footnote w:type="continuationSeparator" w:id="0">
    <w:p w:rsidR="00956904" w:rsidRDefault="00956904" w:rsidP="00775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A" w:rsidRDefault="007756CA">
    <w:pPr>
      <w:pStyle w:val="Header"/>
    </w:pPr>
    <w:r>
      <w:t>IS40520</w:t>
    </w:r>
    <w:r>
      <w:tab/>
    </w:r>
    <w:r>
      <w:tab/>
      <w:t>Group Project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3E84"/>
    <w:multiLevelType w:val="hybridMultilevel"/>
    <w:tmpl w:val="F7CA83E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CA"/>
    <w:rsid w:val="000C2A37"/>
    <w:rsid w:val="00263056"/>
    <w:rsid w:val="005319D7"/>
    <w:rsid w:val="00686E9F"/>
    <w:rsid w:val="006C31B6"/>
    <w:rsid w:val="006D1801"/>
    <w:rsid w:val="007756CA"/>
    <w:rsid w:val="00956904"/>
    <w:rsid w:val="00CF4BBF"/>
    <w:rsid w:val="00DA12AC"/>
    <w:rsid w:val="00EA4080"/>
    <w:rsid w:val="00F6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6CA"/>
  </w:style>
  <w:style w:type="paragraph" w:styleId="Footer">
    <w:name w:val="footer"/>
    <w:basedOn w:val="Normal"/>
    <w:link w:val="FooterChar"/>
    <w:uiPriority w:val="99"/>
    <w:unhideWhenUsed/>
    <w:rsid w:val="0077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6CA"/>
  </w:style>
  <w:style w:type="character" w:customStyle="1" w:styleId="apple-converted-space">
    <w:name w:val="apple-converted-space"/>
    <w:basedOn w:val="DefaultParagraphFont"/>
    <w:rsid w:val="007756CA"/>
  </w:style>
  <w:style w:type="character" w:styleId="Emphasis">
    <w:name w:val="Emphasis"/>
    <w:basedOn w:val="DefaultParagraphFont"/>
    <w:uiPriority w:val="20"/>
    <w:qFormat/>
    <w:rsid w:val="007756CA"/>
    <w:rPr>
      <w:i/>
      <w:iCs/>
    </w:rPr>
  </w:style>
  <w:style w:type="paragraph" w:styleId="ListParagraph">
    <w:name w:val="List Paragraph"/>
    <w:basedOn w:val="Normal"/>
    <w:uiPriority w:val="34"/>
    <w:qFormat/>
    <w:rsid w:val="00263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6CA"/>
  </w:style>
  <w:style w:type="paragraph" w:styleId="Footer">
    <w:name w:val="footer"/>
    <w:basedOn w:val="Normal"/>
    <w:link w:val="FooterChar"/>
    <w:uiPriority w:val="99"/>
    <w:unhideWhenUsed/>
    <w:rsid w:val="0077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6CA"/>
  </w:style>
  <w:style w:type="character" w:customStyle="1" w:styleId="apple-converted-space">
    <w:name w:val="apple-converted-space"/>
    <w:basedOn w:val="DefaultParagraphFont"/>
    <w:rsid w:val="007756CA"/>
  </w:style>
  <w:style w:type="character" w:styleId="Emphasis">
    <w:name w:val="Emphasis"/>
    <w:basedOn w:val="DefaultParagraphFont"/>
    <w:uiPriority w:val="20"/>
    <w:qFormat/>
    <w:rsid w:val="007756CA"/>
    <w:rPr>
      <w:i/>
      <w:iCs/>
    </w:rPr>
  </w:style>
  <w:style w:type="paragraph" w:styleId="ListParagraph">
    <w:name w:val="List Paragraph"/>
    <w:basedOn w:val="Normal"/>
    <w:uiPriority w:val="34"/>
    <w:qFormat/>
    <w:rsid w:val="00263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2012-04-01T11:06:00Z</dcterms:created>
  <dcterms:modified xsi:type="dcterms:W3CDTF">2012-04-01T12:16:00Z</dcterms:modified>
</cp:coreProperties>
</file>